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556" w:rsidRDefault="00D668C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2. </w:t>
      </w:r>
      <w:r>
        <w:rPr>
          <w:b/>
          <w:color w:val="000000"/>
          <w:u w:color="000000"/>
        </w:rPr>
        <w:t>Wzory dokumentów niezbędnych dla kwalifikacji pacjenta do leczenia w programie lekowym Leczenie pacjentów ze spektrum zapalenia nerwó</w:t>
      </w:r>
      <w:r>
        <w:rPr>
          <w:b/>
          <w:color w:val="000000"/>
          <w:u w:color="000000"/>
        </w:rPr>
        <w:t>w wzrokowych i rdzenia kręgowego (NMOSD)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21"/>
        <w:gridCol w:w="2520"/>
        <w:gridCol w:w="2521"/>
        <w:gridCol w:w="2520"/>
      </w:tblGrid>
      <w:tr w:rsidR="00843556">
        <w:tc>
          <w:tcPr>
            <w:tcW w:w="2466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6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7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6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843556">
        <w:tc>
          <w:tcPr>
            <w:tcW w:w="2466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6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7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6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</w:tbl>
    <w:p w:rsidR="00843556" w:rsidRDefault="00D668C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zakwalifikowanie pacjenta do leczenia w programie lekowym Leczenie pacjentów ze spektrum zapalenia nerwów wzrokowych i rdzenia kręgowego (NMOSD)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21"/>
        <w:gridCol w:w="2520"/>
        <w:gridCol w:w="2521"/>
        <w:gridCol w:w="2520"/>
      </w:tblGrid>
      <w:tr w:rsidR="00843556">
        <w:tc>
          <w:tcPr>
            <w:tcW w:w="2466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6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7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6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843556">
        <w:tc>
          <w:tcPr>
            <w:tcW w:w="2466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6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7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6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</w:tbl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ab/>
        <w:t xml:space="preserve">Dane personalne pacjenta i nazwa </w:t>
      </w:r>
      <w:r>
        <w:rPr>
          <w:b/>
          <w:color w:val="000000"/>
          <w:u w:color="000000"/>
        </w:rPr>
        <w:t>jednostki kierującej: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25"/>
        <w:gridCol w:w="2341"/>
        <w:gridCol w:w="330"/>
        <w:gridCol w:w="2325"/>
        <w:gridCol w:w="2026"/>
        <w:gridCol w:w="735"/>
      </w:tblGrid>
      <w:tr w:rsidR="00843556">
        <w:trPr>
          <w:trHeight w:val="540"/>
        </w:trPr>
        <w:tc>
          <w:tcPr>
            <w:tcW w:w="4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D668CC">
            <w:pPr>
              <w:widowControl w:val="0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4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D668CC">
            <w:pPr>
              <w:widowControl w:val="0"/>
              <w:rPr>
                <w:color w:val="000000"/>
                <w:u w:color="000000"/>
              </w:rPr>
            </w:pPr>
            <w:r>
              <w:t>PESEL</w:t>
            </w:r>
          </w:p>
        </w:tc>
        <w:tc>
          <w:tcPr>
            <w:tcW w:w="719" w:type="dxa"/>
          </w:tcPr>
          <w:p w:rsidR="00843556" w:rsidRDefault="00843556">
            <w:pPr>
              <w:widowControl w:val="0"/>
            </w:pPr>
          </w:p>
        </w:tc>
      </w:tr>
      <w:tr w:rsidR="00843556">
        <w:tc>
          <w:tcPr>
            <w:tcW w:w="2275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91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98" w:type="dxa"/>
            <w:gridSpan w:val="2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701" w:type="dxa"/>
            <w:gridSpan w:val="2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843556">
        <w:tc>
          <w:tcPr>
            <w:tcW w:w="2275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91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98" w:type="dxa"/>
            <w:gridSpan w:val="2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701" w:type="dxa"/>
            <w:gridSpan w:val="2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</w:tbl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 wystawienia wniosku:</w:t>
      </w:r>
    </w:p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Świadczeniodawca wystawiający wniosek: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34"/>
        <w:gridCol w:w="2521"/>
        <w:gridCol w:w="2536"/>
        <w:gridCol w:w="2491"/>
      </w:tblGrid>
      <w:tr w:rsidR="00843556">
        <w:tc>
          <w:tcPr>
            <w:tcW w:w="2480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7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81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37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843556">
        <w:tc>
          <w:tcPr>
            <w:tcW w:w="2480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67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81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37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</w:tbl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do kwalifikacji:</w:t>
      </w:r>
    </w:p>
    <w:p w:rsidR="00843556" w:rsidRDefault="00D668C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Wiek pacjenta: ............................</w:t>
      </w:r>
    </w:p>
    <w:p w:rsidR="00843556" w:rsidRDefault="00D668C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Wynik badania MRI potwierdzający rozpoznanie NMOSD: </w:t>
      </w:r>
      <w:r>
        <w:rPr>
          <w:color w:val="000000"/>
          <w:u w:color="000000"/>
        </w:rPr>
        <w:t>............................</w:t>
      </w:r>
    </w:p>
    <w:p w:rsidR="00843556" w:rsidRDefault="00D668C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Wynik badania potwierdzający obecność przeciwciał anty-AQP4: ............................</w:t>
      </w:r>
    </w:p>
    <w:p w:rsidR="00843556" w:rsidRDefault="00D668C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Ocena stanu neurologicznego z określeniem EDSS: ............................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8"/>
        <w:gridCol w:w="238"/>
        <w:gridCol w:w="6863"/>
        <w:gridCol w:w="871"/>
        <w:gridCol w:w="722"/>
        <w:gridCol w:w="237"/>
        <w:gridCol w:w="913"/>
      </w:tblGrid>
      <w:tr w:rsidR="00843556"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D668CC">
            <w:pPr>
              <w:widowControl w:val="0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Kryteria kwalifikacji do leczenia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D668CC">
            <w:pPr>
              <w:widowControl w:val="0"/>
              <w:rPr>
                <w:color w:val="000000"/>
                <w:u w:color="000000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D668CC">
            <w:pPr>
              <w:widowControl w:val="0"/>
              <w:rPr>
                <w:color w:val="000000"/>
                <w:u w:color="000000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89" w:type="dxa"/>
          </w:tcPr>
          <w:p w:rsidR="00843556" w:rsidRDefault="00843556">
            <w:pPr>
              <w:widowControl w:val="0"/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D668CC">
            <w:pPr>
              <w:widowControl w:val="0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rozpoznanie </w:t>
            </w:r>
            <w:r>
              <w:rPr>
                <w:sz w:val="24"/>
              </w:rPr>
              <w:t>chorób ze spektrum zapalenia nerwów wzrokowych oraz rdzenia kręgowego (NMOSD) - oparte na aktualnych kryteriach diagnostycznych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843556">
            <w:pPr>
              <w:widowControl w:val="0"/>
              <w:rPr>
                <w:color w:val="000000"/>
                <w:u w:color="000000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843556">
            <w:pPr>
              <w:widowControl w:val="0"/>
              <w:rPr>
                <w:color w:val="000000"/>
                <w:u w:color="000000"/>
              </w:rPr>
            </w:pPr>
          </w:p>
        </w:tc>
        <w:tc>
          <w:tcPr>
            <w:tcW w:w="89" w:type="dxa"/>
          </w:tcPr>
          <w:p w:rsidR="00843556" w:rsidRDefault="00843556">
            <w:pPr>
              <w:widowControl w:val="0"/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D668CC">
            <w:pPr>
              <w:widowControl w:val="0"/>
              <w:rPr>
                <w:color w:val="000000"/>
                <w:u w:color="000000"/>
              </w:rPr>
            </w:pPr>
            <w:r>
              <w:rPr>
                <w:sz w:val="24"/>
              </w:rPr>
              <w:t>potwierdzenie obecności przeciwciał anty-AQP4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843556">
            <w:pPr>
              <w:widowControl w:val="0"/>
              <w:rPr>
                <w:color w:val="000000"/>
                <w:u w:color="000000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843556">
            <w:pPr>
              <w:widowControl w:val="0"/>
              <w:rPr>
                <w:color w:val="000000"/>
                <w:u w:color="000000"/>
              </w:rPr>
            </w:pPr>
          </w:p>
        </w:tc>
        <w:tc>
          <w:tcPr>
            <w:tcW w:w="89" w:type="dxa"/>
          </w:tcPr>
          <w:p w:rsidR="00843556" w:rsidRDefault="00843556">
            <w:pPr>
              <w:widowControl w:val="0"/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D668CC">
            <w:pPr>
              <w:widowControl w:val="0"/>
              <w:rPr>
                <w:color w:val="000000"/>
                <w:u w:color="000000"/>
              </w:rPr>
            </w:pPr>
            <w:r>
              <w:rPr>
                <w:sz w:val="24"/>
              </w:rPr>
              <w:t>EDSS od 0 do 6,5 włącznie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843556">
            <w:pPr>
              <w:widowControl w:val="0"/>
              <w:rPr>
                <w:color w:val="000000"/>
                <w:u w:color="000000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843556">
            <w:pPr>
              <w:widowControl w:val="0"/>
              <w:rPr>
                <w:color w:val="000000"/>
                <w:u w:color="000000"/>
              </w:rPr>
            </w:pPr>
          </w:p>
        </w:tc>
        <w:tc>
          <w:tcPr>
            <w:tcW w:w="89" w:type="dxa"/>
          </w:tcPr>
          <w:p w:rsidR="00843556" w:rsidRDefault="00843556">
            <w:pPr>
              <w:widowControl w:val="0"/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D668CC">
            <w:pPr>
              <w:widowControl w:val="0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brak przeciwwskazań do stosowania </w:t>
            </w:r>
            <w:proofErr w:type="spellStart"/>
            <w:r>
              <w:rPr>
                <w:sz w:val="24"/>
              </w:rPr>
              <w:t>satralizumabu</w:t>
            </w:r>
            <w:proofErr w:type="spellEnd"/>
            <w:r>
              <w:rPr>
                <w:sz w:val="24"/>
              </w:rPr>
              <w:t xml:space="preserve"> określonych w aktualnej Charakterystyce Produktu Leczniczego (</w:t>
            </w:r>
            <w:proofErr w:type="spellStart"/>
            <w:r>
              <w:rPr>
                <w:sz w:val="24"/>
              </w:rPr>
              <w:t>ChPL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843556">
            <w:pPr>
              <w:widowControl w:val="0"/>
              <w:rPr>
                <w:color w:val="000000"/>
                <w:u w:color="000000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843556">
            <w:pPr>
              <w:widowControl w:val="0"/>
              <w:rPr>
                <w:color w:val="000000"/>
                <w:u w:color="000000"/>
              </w:rPr>
            </w:pPr>
          </w:p>
        </w:tc>
        <w:tc>
          <w:tcPr>
            <w:tcW w:w="89" w:type="dxa"/>
          </w:tcPr>
          <w:p w:rsidR="00843556" w:rsidRDefault="00843556">
            <w:pPr>
              <w:widowControl w:val="0"/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D668CC">
            <w:pPr>
              <w:widowControl w:val="0"/>
              <w:rPr>
                <w:color w:val="000000"/>
                <w:u w:color="000000"/>
              </w:rPr>
            </w:pPr>
            <w:r>
              <w:rPr>
                <w:sz w:val="24"/>
              </w:rPr>
              <w:t>brak wcześniejszego leczenia inną terapią z zastosowaniem leków z grupy inhibitorów interleukiny 6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843556">
            <w:pPr>
              <w:widowControl w:val="0"/>
              <w:rPr>
                <w:color w:val="000000"/>
                <w:u w:color="000000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556" w:rsidRDefault="00843556">
            <w:pPr>
              <w:widowControl w:val="0"/>
              <w:rPr>
                <w:color w:val="000000"/>
                <w:u w:color="000000"/>
              </w:rPr>
            </w:pPr>
          </w:p>
        </w:tc>
        <w:tc>
          <w:tcPr>
            <w:tcW w:w="89" w:type="dxa"/>
          </w:tcPr>
          <w:p w:rsidR="00843556" w:rsidRDefault="00843556">
            <w:pPr>
              <w:widowControl w:val="0"/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c>
          <w:tcPr>
            <w:tcW w:w="230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31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6824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81" w:type="dxa"/>
            <w:gridSpan w:val="4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843556">
        <w:tc>
          <w:tcPr>
            <w:tcW w:w="230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31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6824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81" w:type="dxa"/>
            <w:gridSpan w:val="4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843556">
        <w:trPr>
          <w:trHeight w:val="291"/>
        </w:trPr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D668CC">
            <w:pPr>
              <w:widowControl w:val="0"/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Przeciwskazania do włączenia do programu: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3556" w:rsidRDefault="00D668CC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TAK</w:t>
            </w:r>
          </w:p>
        </w:tc>
        <w:tc>
          <w:tcPr>
            <w:tcW w:w="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3556" w:rsidRDefault="00D668CC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NIE</w:t>
            </w: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rPr>
          <w:trHeight w:val="514"/>
        </w:trPr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D668CC">
            <w:pPr>
              <w:widowControl w:val="0"/>
              <w:jc w:val="left"/>
              <w:rPr>
                <w:color w:val="000000"/>
                <w:u w:color="000000"/>
              </w:rPr>
            </w:pPr>
            <w:r>
              <w:t xml:space="preserve">nadwrażliwość na </w:t>
            </w:r>
            <w:proofErr w:type="spellStart"/>
            <w:r>
              <w:t>satralizumab</w:t>
            </w:r>
            <w:proofErr w:type="spellEnd"/>
            <w:r>
              <w:t xml:space="preserve"> lub na którąkolwiek substancję pomocniczą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rPr>
          <w:trHeight w:val="564"/>
        </w:trPr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D668CC">
            <w:pPr>
              <w:widowControl w:val="0"/>
              <w:jc w:val="left"/>
              <w:rPr>
                <w:color w:val="000000"/>
                <w:u w:color="000000"/>
              </w:rPr>
            </w:pPr>
            <w:r>
              <w:t>trwające aktualnie czynne zakażenie do momentu ustąpienia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rPr>
          <w:trHeight w:val="564"/>
        </w:trPr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D668CC">
            <w:pPr>
              <w:widowControl w:val="0"/>
              <w:jc w:val="left"/>
            </w:pPr>
            <w:r>
              <w:t>aktywny nowotwór złośliwy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rPr>
          <w:trHeight w:val="544"/>
        </w:trPr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D668CC">
            <w:pPr>
              <w:widowControl w:val="0"/>
              <w:jc w:val="left"/>
              <w:rPr>
                <w:color w:val="000000"/>
                <w:u w:color="000000"/>
              </w:rPr>
            </w:pPr>
            <w:r>
              <w:t xml:space="preserve">wcześniejsze leczenie przeciwciałem anty-CD20, </w:t>
            </w:r>
            <w:proofErr w:type="spellStart"/>
            <w:r>
              <w:t>ekulizumabem</w:t>
            </w:r>
            <w:proofErr w:type="spellEnd"/>
            <w:r>
              <w:t>, przeciwciałem monoklonalnym</w:t>
            </w:r>
            <w:r>
              <w:t xml:space="preserve"> anty-</w:t>
            </w:r>
            <w:proofErr w:type="spellStart"/>
            <w:r>
              <w:t>BLyS</w:t>
            </w:r>
            <w:proofErr w:type="spellEnd"/>
            <w:r>
              <w:t>, lekiem zapobiegającym nawrotom stwardnienia rozsianego w ciągu 6 miesięcy przed kwalifikacją do programu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rPr>
          <w:trHeight w:val="582"/>
        </w:trPr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D668CC">
            <w:pPr>
              <w:widowControl w:val="0"/>
              <w:jc w:val="left"/>
              <w:rPr>
                <w:color w:val="000000"/>
                <w:u w:color="000000"/>
              </w:rPr>
            </w:pPr>
            <w:r>
              <w:t xml:space="preserve">wcześniejsze leczenie anty-CD4, kladrybiną, </w:t>
            </w:r>
            <w:proofErr w:type="spellStart"/>
            <w:r>
              <w:t>cyklofosfamidem</w:t>
            </w:r>
            <w:proofErr w:type="spellEnd"/>
            <w:r>
              <w:t xml:space="preserve"> lub </w:t>
            </w:r>
            <w:proofErr w:type="spellStart"/>
            <w:r>
              <w:t>mitoksantronem</w:t>
            </w:r>
            <w:proofErr w:type="spellEnd"/>
            <w:r>
              <w:t xml:space="preserve">, przeszczepienie komórek macierzystych szpiku w ciągu 2 </w:t>
            </w:r>
            <w:r>
              <w:t>lat przed przystąpieniem do programu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rPr>
          <w:trHeight w:val="582"/>
        </w:trPr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D668CC">
            <w:pPr>
              <w:widowControl w:val="0"/>
              <w:jc w:val="left"/>
              <w:rPr>
                <w:color w:val="000000"/>
                <w:u w:color="000000"/>
              </w:rPr>
            </w:pPr>
            <w:r>
              <w:lastRenderedPageBreak/>
              <w:t>inne stany kliniczne, które w opinii lekarza, mogą stanowić przeciwwskazania do terapii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rPr>
          <w:trHeight w:val="582"/>
        </w:trPr>
        <w:tc>
          <w:tcPr>
            <w:tcW w:w="7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D668CC">
            <w:pPr>
              <w:widowControl w:val="0"/>
              <w:jc w:val="left"/>
              <w:rPr>
                <w:color w:val="000000"/>
                <w:u w:color="000000"/>
              </w:rPr>
            </w:pPr>
            <w:r>
              <w:t xml:space="preserve">inne przeciwwskazania wymienione w aktualnej </w:t>
            </w:r>
            <w:proofErr w:type="spellStart"/>
            <w:r>
              <w:t>ChPL</w:t>
            </w:r>
            <w:proofErr w:type="spellEnd"/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908" w:type="dxa"/>
          </w:tcPr>
          <w:p w:rsidR="00843556" w:rsidRDefault="00843556">
            <w:pPr>
              <w:widowControl w:val="0"/>
            </w:pPr>
          </w:p>
        </w:tc>
      </w:tr>
      <w:tr w:rsidR="00843556">
        <w:tc>
          <w:tcPr>
            <w:tcW w:w="230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31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6824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81" w:type="dxa"/>
            <w:gridSpan w:val="4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843556">
        <w:tc>
          <w:tcPr>
            <w:tcW w:w="230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31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6824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81" w:type="dxa"/>
            <w:gridSpan w:val="4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</w:tbl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Uwagi:</w:t>
      </w:r>
    </w:p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</w:t>
      </w:r>
      <w:r>
        <w:rPr>
          <w:color w:val="000000"/>
          <w:u w:color="000000"/>
        </w:rPr>
        <w:t>...........................................</w:t>
      </w:r>
    </w:p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tbl>
      <w:tblPr>
        <w:tblW w:w="10102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070"/>
        <w:gridCol w:w="2521"/>
        <w:gridCol w:w="2400"/>
        <w:gridCol w:w="2639"/>
      </w:tblGrid>
      <w:tr w:rsidR="00843556">
        <w:tc>
          <w:tcPr>
            <w:tcW w:w="236" w:type="dxa"/>
          </w:tcPr>
          <w:p w:rsidR="00843556" w:rsidRDefault="00843556">
            <w:pPr>
              <w:widowControl w:val="0"/>
              <w:jc w:val="left"/>
              <w:rPr>
                <w:color w:val="000000"/>
              </w:rPr>
            </w:pPr>
          </w:p>
        </w:tc>
        <w:tc>
          <w:tcPr>
            <w:tcW w:w="235" w:type="dxa"/>
          </w:tcPr>
          <w:p w:rsidR="00843556" w:rsidRDefault="00843556">
            <w:pPr>
              <w:widowControl w:val="0"/>
              <w:jc w:val="left"/>
              <w:rPr>
                <w:color w:val="000000"/>
              </w:rPr>
            </w:pPr>
          </w:p>
        </w:tc>
        <w:tc>
          <w:tcPr>
            <w:tcW w:w="6991" w:type="dxa"/>
            <w:gridSpan w:val="3"/>
          </w:tcPr>
          <w:p w:rsidR="00843556" w:rsidRDefault="00843556">
            <w:pPr>
              <w:widowControl w:val="0"/>
              <w:jc w:val="left"/>
              <w:rPr>
                <w:color w:val="000000"/>
              </w:rPr>
            </w:pPr>
          </w:p>
        </w:tc>
        <w:tc>
          <w:tcPr>
            <w:tcW w:w="2639" w:type="dxa"/>
          </w:tcPr>
          <w:p w:rsidR="00843556" w:rsidRDefault="00843556">
            <w:pPr>
              <w:widowControl w:val="0"/>
              <w:jc w:val="left"/>
              <w:rPr>
                <w:color w:val="000000"/>
              </w:rPr>
            </w:pPr>
          </w:p>
        </w:tc>
      </w:tr>
      <w:tr w:rsidR="00843556">
        <w:tc>
          <w:tcPr>
            <w:tcW w:w="236" w:type="dxa"/>
          </w:tcPr>
          <w:p w:rsidR="00843556" w:rsidRDefault="00843556">
            <w:pPr>
              <w:widowControl w:val="0"/>
              <w:jc w:val="left"/>
              <w:rPr>
                <w:color w:val="000000"/>
              </w:rPr>
            </w:pPr>
          </w:p>
        </w:tc>
        <w:tc>
          <w:tcPr>
            <w:tcW w:w="235" w:type="dxa"/>
          </w:tcPr>
          <w:p w:rsidR="00843556" w:rsidRDefault="00843556">
            <w:pPr>
              <w:widowControl w:val="0"/>
              <w:jc w:val="left"/>
              <w:rPr>
                <w:color w:val="000000"/>
              </w:rPr>
            </w:pPr>
          </w:p>
        </w:tc>
        <w:tc>
          <w:tcPr>
            <w:tcW w:w="6991" w:type="dxa"/>
            <w:gridSpan w:val="3"/>
          </w:tcPr>
          <w:p w:rsidR="00843556" w:rsidRDefault="00843556">
            <w:pPr>
              <w:widowControl w:val="0"/>
              <w:jc w:val="left"/>
              <w:rPr>
                <w:color w:val="000000"/>
              </w:rPr>
            </w:pPr>
          </w:p>
        </w:tc>
        <w:tc>
          <w:tcPr>
            <w:tcW w:w="2639" w:type="dxa"/>
          </w:tcPr>
          <w:p w:rsidR="00843556" w:rsidRDefault="00843556">
            <w:pPr>
              <w:widowControl w:val="0"/>
              <w:jc w:val="left"/>
              <w:rPr>
                <w:color w:val="000000"/>
              </w:rPr>
            </w:pPr>
          </w:p>
        </w:tc>
      </w:tr>
      <w:tr w:rsidR="00843556">
        <w:tc>
          <w:tcPr>
            <w:tcW w:w="5062" w:type="dxa"/>
            <w:gridSpan w:val="4"/>
          </w:tcPr>
          <w:p w:rsidR="00843556" w:rsidRDefault="00D668CC">
            <w:pPr>
              <w:widowControl w:val="0"/>
              <w:jc w:val="left"/>
              <w:rPr>
                <w:color w:val="000000"/>
                <w:u w:color="000000"/>
              </w:rPr>
            </w:pPr>
            <w:r>
              <w:t>Data: …………………………</w:t>
            </w:r>
          </w:p>
        </w:tc>
        <w:tc>
          <w:tcPr>
            <w:tcW w:w="5039" w:type="dxa"/>
            <w:gridSpan w:val="2"/>
          </w:tcPr>
          <w:p w:rsidR="00843556" w:rsidRDefault="00D668CC">
            <w:pPr>
              <w:widowControl w:val="0"/>
              <w:jc w:val="left"/>
              <w:rPr>
                <w:color w:val="000000"/>
                <w:u w:color="000000"/>
              </w:rPr>
            </w:pPr>
            <w:r>
              <w:t>……………..………………………………</w:t>
            </w:r>
          </w:p>
        </w:tc>
      </w:tr>
      <w:tr w:rsidR="00843556">
        <w:tc>
          <w:tcPr>
            <w:tcW w:w="2541" w:type="dxa"/>
            <w:gridSpan w:val="3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21" w:type="dxa"/>
          </w:tcPr>
          <w:p w:rsidR="00843556" w:rsidRDefault="00843556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5039" w:type="dxa"/>
            <w:gridSpan w:val="2"/>
          </w:tcPr>
          <w:p w:rsidR="00843556" w:rsidRDefault="00D668CC">
            <w:pPr>
              <w:widowControl w:val="0"/>
              <w:jc w:val="left"/>
              <w:rPr>
                <w:color w:val="000000"/>
                <w:u w:color="000000"/>
              </w:rPr>
            </w:pPr>
            <w:r>
              <w:rPr>
                <w:i/>
                <w:sz w:val="18"/>
              </w:rPr>
              <w:t xml:space="preserve">nadruk lub </w:t>
            </w:r>
            <w:r>
              <w:rPr>
                <w:i/>
                <w:sz w:val="18"/>
              </w:rPr>
              <w:t>pieczątka zawierające imię i nazwisko lekarza, numer prawa wykonywania zawodu oraz jego podpis</w:t>
            </w:r>
          </w:p>
        </w:tc>
      </w:tr>
    </w:tbl>
    <w:p w:rsidR="00843556" w:rsidRDefault="00D668CC">
      <w:pPr>
        <w:spacing w:before="120" w:after="120"/>
        <w:ind w:firstLine="227"/>
        <w:jc w:val="right"/>
        <w:rPr>
          <w:color w:val="000000"/>
          <w:u w:color="000000"/>
        </w:rPr>
      </w:pPr>
      <w:r>
        <w:br w:type="page"/>
      </w:r>
      <w:r>
        <w:rPr>
          <w:color w:val="000000"/>
          <w:u w:color="000000"/>
        </w:rPr>
        <w:lastRenderedPageBreak/>
        <w:t>........................ dnia……………………..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</w:tbl>
    <w:p w:rsidR="00843556" w:rsidRDefault="00D668CC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Decyzja dotycząca kwalifikacji do leczenia w programie lekowym Leczenie pacjentów ze spektrum zapalenia nerwów </w:t>
      </w:r>
      <w:r>
        <w:rPr>
          <w:b/>
          <w:color w:val="000000"/>
          <w:u w:color="000000"/>
        </w:rPr>
        <w:t>wzrokowych i rdzenia kręgowego (NMOSD)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</w:tbl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Przewodniczący Zespołu Koordynacyjnego ds. Leczenia Pacjentów ze Spektrum Zapalenia Nerwów Wzrokowych i Rdzenia Kręgowego:</w:t>
      </w:r>
    </w:p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Pan/Pani: 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</w:tbl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Dotyczy pacjenta:</w:t>
      </w:r>
    </w:p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 ……………………………………………PESEL: ………………………….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</w:tbl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Świadczeniodawca wnioskujący: ………………………………</w:t>
      </w:r>
      <w:r>
        <w:rPr>
          <w:color w:val="000000"/>
          <w:u w:color="000000"/>
        </w:rPr>
        <w:t>………………………………</w:t>
      </w:r>
      <w:r>
        <w:rPr>
          <w:color w:val="000000"/>
          <w:u w:color="000000"/>
        </w:rPr>
        <w:br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</w:tbl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Lek: </w:t>
      </w:r>
      <w:proofErr w:type="spellStart"/>
      <w:r>
        <w:rPr>
          <w:color w:val="000000"/>
          <w:u w:color="000000"/>
        </w:rPr>
        <w:t>Enspryng</w:t>
      </w:r>
      <w:proofErr w:type="spell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</w:tbl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Decyzja: Pozytywna/Negatywna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  <w:tr w:rsidR="00843556">
        <w:tc>
          <w:tcPr>
            <w:tcW w:w="3288" w:type="dxa"/>
          </w:tcPr>
          <w:p w:rsidR="00843556" w:rsidRDefault="00D668CC">
            <w:pPr>
              <w:widowControl w:val="0"/>
              <w:jc w:val="left"/>
              <w:rPr>
                <w:color w:val="000000"/>
                <w:u w:color="000000"/>
              </w:rPr>
            </w:pPr>
            <w:r>
              <w:t>Data decyzji:…………………….</w:t>
            </w:r>
          </w:p>
        </w:tc>
        <w:tc>
          <w:tcPr>
            <w:tcW w:w="6578" w:type="dxa"/>
            <w:gridSpan w:val="2"/>
          </w:tcPr>
          <w:p w:rsidR="00843556" w:rsidRDefault="00D668CC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……………………………...………………………………….</w:t>
            </w:r>
          </w:p>
        </w:tc>
      </w:tr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78" w:type="dxa"/>
            <w:gridSpan w:val="2"/>
          </w:tcPr>
          <w:p w:rsidR="00843556" w:rsidRDefault="00D668CC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Podpis  Przewodniczącego Zespołu Koordynacyjnego ds. Leczenia Pacjentów ze Spektrum Zapalenia Nerwów Wzrokowych i Rdzenia </w:t>
            </w:r>
            <w:r>
              <w:rPr>
                <w:sz w:val="18"/>
              </w:rPr>
              <w:t>Kręgowego</w:t>
            </w:r>
          </w:p>
        </w:tc>
      </w:tr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  <w:tr w:rsidR="00843556">
        <w:tc>
          <w:tcPr>
            <w:tcW w:w="3288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:rsidR="00843556" w:rsidRDefault="008435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</w:tbl>
    <w:p w:rsidR="00843556" w:rsidRDefault="00D668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Administrator danych osobowych, przetwarzający dane niezbędne przy realizacji programu lekowego zobowiązany jest do stosowania przepisów Rozporządzenia Parlamentu Europejskiego i Rady (UE) 2016/679 z dnia 27 kwietnia 2016 r. w sprawie </w:t>
      </w:r>
      <w:r>
        <w:rPr>
          <w:color w:val="000000"/>
          <w:u w:color="000000"/>
        </w:rPr>
        <w:t>ochrony osób fizycznych w związku z przetwarzaniem danych osobowych i w sprawie swobodnego przepływu takich danych oraz uchylenia dyrektywy 95/46/WE (Ogólne rozporządzenie o ochronie danych - RODO).</w:t>
      </w:r>
      <w:bookmarkStart w:id="0" w:name="_GoBack"/>
      <w:bookmarkEnd w:id="0"/>
    </w:p>
    <w:sectPr w:rsidR="00843556">
      <w:pgSz w:w="11906" w:h="16838"/>
      <w:pgMar w:top="1417" w:right="1020" w:bottom="992" w:left="10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56"/>
    <w:rsid w:val="001F7EAC"/>
    <w:rsid w:val="00843556"/>
    <w:rsid w:val="00D6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234"/>
  <w15:docId w15:val="{D8FCE52B-55B9-4205-8498-03340069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  <w:qFormat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00SVSCCM2016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w zakresie programy lekowe</dc:subject>
  <dc:creator>agata.rodak</dc:creator>
  <dc:description/>
  <cp:lastModifiedBy>Kinga Adamczyk-Opałka</cp:lastModifiedBy>
  <cp:revision>2</cp:revision>
  <dcterms:created xsi:type="dcterms:W3CDTF">2023-02-06T14:17:00Z</dcterms:created>
  <dcterms:modified xsi:type="dcterms:W3CDTF">2023-02-06T14:17:00Z</dcterms:modified>
  <cp:category>Akt prawny</cp:category>
  <dc:language>pl-PL</dc:language>
</cp:coreProperties>
</file>